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350500" w:rsidRDefault="00D429F3" w:rsidP="00D429F3">
      <w:pPr>
        <w:spacing w:after="0" w:line="480" w:lineRule="auto"/>
        <w:jc w:val="center"/>
        <w:rPr>
          <w:rFonts w:ascii="Times New Roman" w:hAnsi="Times New Roman" w:cs="Times New Roman"/>
          <w:sz w:val="24"/>
        </w:rPr>
      </w:pPr>
      <w:r>
        <w:rPr>
          <w:rFonts w:ascii="Times New Roman" w:hAnsi="Times New Roman" w:cs="Times New Roman"/>
          <w:sz w:val="24"/>
        </w:rPr>
        <w:t>History</w:t>
      </w:r>
    </w:p>
    <w:p w:rsidR="00D429F3" w:rsidRDefault="00D429F3" w:rsidP="00D429F3">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D429F3" w:rsidRDefault="00D429F3" w:rsidP="00D429F3">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D429F3" w:rsidRDefault="00D429F3" w:rsidP="00D429F3">
      <w:pPr>
        <w:spacing w:after="0" w:line="480" w:lineRule="auto"/>
        <w:jc w:val="center"/>
        <w:rPr>
          <w:rFonts w:ascii="Times New Roman" w:hAnsi="Times New Roman" w:cs="Times New Roman"/>
          <w:sz w:val="24"/>
        </w:rPr>
      </w:pPr>
      <w:r>
        <w:rPr>
          <w:rFonts w:ascii="Times New Roman" w:hAnsi="Times New Roman" w:cs="Times New Roman"/>
          <w:sz w:val="24"/>
        </w:rPr>
        <w:t>Date of Submission</w:t>
      </w: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jc w:val="center"/>
        <w:rPr>
          <w:rFonts w:ascii="Times New Roman" w:hAnsi="Times New Roman" w:cs="Times New Roman"/>
          <w:sz w:val="24"/>
        </w:rPr>
      </w:pPr>
    </w:p>
    <w:p w:rsidR="00D429F3" w:rsidRDefault="00D429F3" w:rsidP="00D429F3">
      <w:pPr>
        <w:spacing w:after="0" w:line="480" w:lineRule="auto"/>
        <w:rPr>
          <w:rFonts w:ascii="Times New Roman" w:hAnsi="Times New Roman" w:cs="Times New Roman"/>
          <w:sz w:val="24"/>
        </w:rPr>
      </w:pPr>
    </w:p>
    <w:p w:rsidR="00645DE2" w:rsidRPr="00645DE2" w:rsidRDefault="00645DE2" w:rsidP="00645DE2">
      <w:pPr>
        <w:spacing w:after="0" w:line="480" w:lineRule="auto"/>
        <w:ind w:firstLine="720"/>
        <w:jc w:val="center"/>
        <w:rPr>
          <w:rFonts w:ascii="Times New Roman" w:hAnsi="Times New Roman" w:cs="Times New Roman"/>
          <w:b/>
          <w:sz w:val="24"/>
        </w:rPr>
      </w:pPr>
      <w:r w:rsidRPr="00645DE2">
        <w:rPr>
          <w:rFonts w:ascii="Times New Roman" w:hAnsi="Times New Roman" w:cs="Times New Roman"/>
          <w:b/>
          <w:sz w:val="24"/>
        </w:rPr>
        <w:lastRenderedPageBreak/>
        <w:t>Miranda vs. Arizona</w:t>
      </w:r>
    </w:p>
    <w:p w:rsidR="00D429F3" w:rsidRDefault="00D429F3" w:rsidP="00645DE2">
      <w:pPr>
        <w:spacing w:after="0" w:line="480" w:lineRule="auto"/>
        <w:ind w:firstLine="720"/>
        <w:rPr>
          <w:rFonts w:ascii="Times New Roman" w:hAnsi="Times New Roman" w:cs="Times New Roman"/>
          <w:sz w:val="24"/>
        </w:rPr>
      </w:pPr>
      <w:r>
        <w:rPr>
          <w:rFonts w:ascii="Times New Roman" w:hAnsi="Times New Roman" w:cs="Times New Roman"/>
          <w:sz w:val="24"/>
        </w:rPr>
        <w:t>In regards to the power of the government, Miranda vs. Arizona was a case that measured the rights of the defendants in unlawful cases. Four different cases were affected by the Miranda vs. Arizona case. The four cases were California v. Stewart, Westover v. United States, Vignera v. New York and Miranda v. Arizona</w:t>
      </w:r>
      <w:r w:rsidR="003F0671">
        <w:rPr>
          <w:rFonts w:ascii="Times New Roman" w:hAnsi="Times New Roman" w:cs="Times New Roman"/>
          <w:sz w:val="24"/>
        </w:rPr>
        <w:t>. Some of the defendants of the three cases confessed after being arrested and questioned in court. The defendants had no idea that the 5</w:t>
      </w:r>
      <w:r w:rsidR="003F0671" w:rsidRPr="003F0671">
        <w:rPr>
          <w:rFonts w:ascii="Times New Roman" w:hAnsi="Times New Roman" w:cs="Times New Roman"/>
          <w:sz w:val="24"/>
          <w:vertAlign w:val="superscript"/>
        </w:rPr>
        <w:t>th</w:t>
      </w:r>
      <w:r w:rsidR="003F0671">
        <w:rPr>
          <w:rFonts w:ascii="Times New Roman" w:hAnsi="Times New Roman" w:cs="Times New Roman"/>
          <w:sz w:val="24"/>
        </w:rPr>
        <w:t xml:space="preserve"> amendment had the right to remain silent listed. Each one of them was convicted by the court after the confession. The case of California v. Stewart was however a conviction. During the interrogation, the courts ruled that the criminal should have been told about the right to remain silent. </w:t>
      </w:r>
    </w:p>
    <w:p w:rsidR="003F0671" w:rsidRDefault="003F0671" w:rsidP="00D429F3">
      <w:pPr>
        <w:spacing w:after="0" w:line="480" w:lineRule="auto"/>
        <w:rPr>
          <w:rFonts w:ascii="Times New Roman" w:hAnsi="Times New Roman" w:cs="Times New Roman"/>
          <w:sz w:val="24"/>
        </w:rPr>
      </w:pPr>
      <w:r>
        <w:rPr>
          <w:rFonts w:ascii="Times New Roman" w:hAnsi="Times New Roman" w:cs="Times New Roman"/>
          <w:sz w:val="24"/>
        </w:rPr>
        <w:tab/>
        <w:t xml:space="preserve">Today, offenders and police officers are still being affected by the Miranda V. Arizona case. Arizona Miranda </w:t>
      </w:r>
      <w:r w:rsidR="00350500">
        <w:rPr>
          <w:rFonts w:ascii="Times New Roman" w:hAnsi="Times New Roman" w:cs="Times New Roman"/>
          <w:sz w:val="24"/>
        </w:rPr>
        <w:t>was a student in the 8</w:t>
      </w:r>
      <w:r w:rsidR="00350500" w:rsidRPr="00350500">
        <w:rPr>
          <w:rFonts w:ascii="Times New Roman" w:hAnsi="Times New Roman" w:cs="Times New Roman"/>
          <w:sz w:val="24"/>
          <w:vertAlign w:val="superscript"/>
        </w:rPr>
        <w:t>th</w:t>
      </w:r>
      <w:r w:rsidR="00350500">
        <w:rPr>
          <w:rFonts w:ascii="Times New Roman" w:hAnsi="Times New Roman" w:cs="Times New Roman"/>
          <w:sz w:val="24"/>
        </w:rPr>
        <w:t xml:space="preserve"> grade who raped a woman. The woman went and told her family. After he was called in for questioning, he wrote a confession.</w:t>
      </w:r>
      <w:r w:rsidR="008E176E">
        <w:rPr>
          <w:rFonts w:ascii="Times New Roman" w:hAnsi="Times New Roman" w:cs="Times New Roman"/>
          <w:sz w:val="24"/>
        </w:rPr>
        <w:t xml:space="preserve"> Ultimately, the appellant of the case was Ernesto Miranda who confessed about rape and kidnapping a woman after being lied to she confessed. The Phoenix Police Department in the State of Arizona was the appellee in the case</w:t>
      </w:r>
      <w:r w:rsidR="00645DE2">
        <w:rPr>
          <w:rFonts w:ascii="Times New Roman" w:hAnsi="Times New Roman" w:cs="Times New Roman"/>
          <w:sz w:val="24"/>
        </w:rPr>
        <w:t xml:space="preserve"> (Friedman, 2010)</w:t>
      </w:r>
      <w:r w:rsidR="005F5D2B">
        <w:rPr>
          <w:rFonts w:ascii="Times New Roman" w:hAnsi="Times New Roman" w:cs="Times New Roman"/>
          <w:sz w:val="24"/>
        </w:rPr>
        <w:t>. Parenthetically, the main theme in the Miranda case was protecting defendants against self incrimination that have been included by the government in the Fifth Amendment. The court gave a warning that no defendant should be convicted or accused without the necessary evidence. In addition, the court held that the government’s interest in upholding the privilege against self- incrimination is greater than its interest in questioning potential criminals</w:t>
      </w:r>
      <w:r w:rsidR="00645DE2">
        <w:rPr>
          <w:rFonts w:ascii="Times New Roman" w:hAnsi="Times New Roman" w:cs="Times New Roman"/>
          <w:sz w:val="24"/>
        </w:rPr>
        <w:t xml:space="preserve"> (Maclin, 2015)</w:t>
      </w:r>
      <w:r w:rsidR="005F5D2B">
        <w:rPr>
          <w:rFonts w:ascii="Times New Roman" w:hAnsi="Times New Roman" w:cs="Times New Roman"/>
          <w:sz w:val="24"/>
        </w:rPr>
        <w:t>.</w:t>
      </w:r>
    </w:p>
    <w:p w:rsidR="00350500" w:rsidRDefault="00350500" w:rsidP="00D429F3">
      <w:pPr>
        <w:spacing w:after="0" w:line="480" w:lineRule="auto"/>
        <w:rPr>
          <w:rFonts w:ascii="Times New Roman" w:hAnsi="Times New Roman" w:cs="Times New Roman"/>
          <w:sz w:val="24"/>
        </w:rPr>
      </w:pPr>
      <w:r>
        <w:rPr>
          <w:rFonts w:ascii="Times New Roman" w:hAnsi="Times New Roman" w:cs="Times New Roman"/>
          <w:sz w:val="24"/>
        </w:rPr>
        <w:tab/>
        <w:t xml:space="preserve">Miranda Warnings are the guidelines that the criminals were given after they gave their confession. Some of these warnings were: they have the right to remain silent; they should not </w:t>
      </w:r>
      <w:r>
        <w:rPr>
          <w:rFonts w:ascii="Times New Roman" w:hAnsi="Times New Roman" w:cs="Times New Roman"/>
          <w:sz w:val="24"/>
        </w:rPr>
        <w:lastRenderedPageBreak/>
        <w:t xml:space="preserve">speak when they have no lawyer, they will be appointed an attorney if they do not have one and anything that they say in court will be used against them. At any stage of the process defendants were not to be questioned by the police. Notably, the suspect’s waivers were valid though they could take advantage of their right to remain silent </w:t>
      </w:r>
      <w:r w:rsidR="008E176E">
        <w:rPr>
          <w:rFonts w:ascii="Times New Roman" w:hAnsi="Times New Roman" w:cs="Times New Roman"/>
          <w:sz w:val="24"/>
        </w:rPr>
        <w:t>and lie. One of the most controversial rulings was the Miranda decision which was increasingly worried about the ways used by the police to attain information from the defendants. Some critics claimed that the law had been weakened due to Miranda’s decision to protect individual rights. The Dickerson V. United States case wanted to overrule the Miranda case but was unable. A general rule could not replace the Miranda Warnings</w:t>
      </w:r>
      <w:r w:rsidR="00645DE2">
        <w:rPr>
          <w:rFonts w:ascii="Times New Roman" w:hAnsi="Times New Roman" w:cs="Times New Roman"/>
          <w:sz w:val="24"/>
        </w:rPr>
        <w:t xml:space="preserve"> (Friedman, 2010)</w:t>
      </w:r>
      <w:r w:rsidR="008E176E">
        <w:rPr>
          <w:rFonts w:ascii="Times New Roman" w:hAnsi="Times New Roman" w:cs="Times New Roman"/>
          <w:sz w:val="24"/>
        </w:rPr>
        <w:t xml:space="preserve">. </w:t>
      </w:r>
    </w:p>
    <w:p w:rsidR="005F5D2B" w:rsidRDefault="005F5D2B" w:rsidP="00645DE2">
      <w:pPr>
        <w:spacing w:after="0" w:line="480" w:lineRule="auto"/>
        <w:ind w:firstLine="720"/>
        <w:rPr>
          <w:rFonts w:ascii="Times New Roman" w:hAnsi="Times New Roman" w:cs="Times New Roman"/>
          <w:sz w:val="24"/>
        </w:rPr>
      </w:pPr>
      <w:r>
        <w:rPr>
          <w:rFonts w:ascii="Times New Roman" w:hAnsi="Times New Roman" w:cs="Times New Roman"/>
          <w:sz w:val="24"/>
        </w:rPr>
        <w:t>In conclusion, the U.S rights and privileges against self- incrimination was jeopardized</w:t>
      </w:r>
      <w:r w:rsidR="008A58EE">
        <w:rPr>
          <w:rFonts w:ascii="Times New Roman" w:hAnsi="Times New Roman" w:cs="Times New Roman"/>
          <w:sz w:val="24"/>
        </w:rPr>
        <w:t xml:space="preserve"> when an individual was taken to custody and questioned without knowing the rights. Procedural safeguards were required in order to protect people’s privilege. Before questioning, the defendant should be notified of his or her rights and privileges to avoid mistakes. The Miranda Warnings should be well explained to the defendants so that he or she can decide on what to do. The defendants are able to intelligently weigh their rights and answer the questions comfortably so as to make a statement. When the warnings have not been given, no one has the right to use the results of interrogation unless the prosecutor says otherwise. Defendants should also be given the right to defend themselves whether it is through a lawyer or witnesses. They have that right. Police officers should respect the rights of the defendants according to the court. Each person has equal rights and privileges that should not be abused. </w:t>
      </w:r>
    </w:p>
    <w:p w:rsidR="008A58EE" w:rsidRDefault="008A58EE" w:rsidP="00D429F3">
      <w:pPr>
        <w:spacing w:after="0" w:line="480" w:lineRule="auto"/>
        <w:rPr>
          <w:rFonts w:ascii="Times New Roman" w:hAnsi="Times New Roman" w:cs="Times New Roman"/>
          <w:sz w:val="24"/>
        </w:rPr>
      </w:pPr>
    </w:p>
    <w:p w:rsidR="008A58EE" w:rsidRDefault="008A58EE" w:rsidP="00D429F3">
      <w:pPr>
        <w:spacing w:after="0" w:line="480" w:lineRule="auto"/>
        <w:rPr>
          <w:rFonts w:ascii="Times New Roman" w:hAnsi="Times New Roman" w:cs="Times New Roman"/>
          <w:sz w:val="24"/>
        </w:rPr>
      </w:pPr>
    </w:p>
    <w:p w:rsidR="008A58EE" w:rsidRDefault="008A58EE" w:rsidP="00D429F3">
      <w:pPr>
        <w:spacing w:after="0" w:line="480" w:lineRule="auto"/>
        <w:rPr>
          <w:rFonts w:ascii="Times New Roman" w:hAnsi="Times New Roman" w:cs="Times New Roman"/>
          <w:sz w:val="24"/>
        </w:rPr>
      </w:pPr>
    </w:p>
    <w:p w:rsidR="008A58EE" w:rsidRDefault="008A58EE" w:rsidP="00645DE2">
      <w:pPr>
        <w:spacing w:after="0" w:line="480" w:lineRule="auto"/>
        <w:jc w:val="center"/>
        <w:rPr>
          <w:rFonts w:ascii="Times New Roman" w:hAnsi="Times New Roman" w:cs="Times New Roman"/>
          <w:b/>
          <w:sz w:val="24"/>
        </w:rPr>
      </w:pPr>
      <w:r w:rsidRPr="008A58EE">
        <w:rPr>
          <w:rFonts w:ascii="Times New Roman" w:hAnsi="Times New Roman" w:cs="Times New Roman"/>
          <w:b/>
          <w:sz w:val="24"/>
        </w:rPr>
        <w:lastRenderedPageBreak/>
        <w:t>References</w:t>
      </w:r>
    </w:p>
    <w:p w:rsidR="00645DE2" w:rsidRPr="00645DE2" w:rsidRDefault="00645DE2" w:rsidP="00645DE2">
      <w:pPr>
        <w:spacing w:after="0" w:line="480" w:lineRule="auto"/>
        <w:ind w:left="720" w:hanging="720"/>
        <w:rPr>
          <w:rFonts w:ascii="Times New Roman" w:hAnsi="Times New Roman" w:cs="Times New Roman"/>
          <w:color w:val="222222"/>
          <w:sz w:val="24"/>
          <w:szCs w:val="20"/>
          <w:shd w:val="clear" w:color="auto" w:fill="FFFFFF"/>
        </w:rPr>
      </w:pPr>
      <w:r w:rsidRPr="00645DE2">
        <w:rPr>
          <w:rFonts w:ascii="Times New Roman" w:hAnsi="Times New Roman" w:cs="Times New Roman"/>
          <w:color w:val="222222"/>
          <w:sz w:val="24"/>
          <w:szCs w:val="20"/>
          <w:shd w:val="clear" w:color="auto" w:fill="FFFFFF"/>
        </w:rPr>
        <w:t>Friedman, B. (2010). The wages of stealth overruling (with particular attention to Miranda v. Arizona). </w:t>
      </w:r>
      <w:r w:rsidRPr="00645DE2">
        <w:rPr>
          <w:rFonts w:ascii="Times New Roman" w:hAnsi="Times New Roman" w:cs="Times New Roman"/>
          <w:i/>
          <w:iCs/>
          <w:color w:val="222222"/>
          <w:sz w:val="24"/>
          <w:szCs w:val="20"/>
          <w:shd w:val="clear" w:color="auto" w:fill="FFFFFF"/>
        </w:rPr>
        <w:t>Geo. LJ</w:t>
      </w:r>
      <w:r w:rsidRPr="00645DE2">
        <w:rPr>
          <w:rFonts w:ascii="Times New Roman" w:hAnsi="Times New Roman" w:cs="Times New Roman"/>
          <w:color w:val="222222"/>
          <w:sz w:val="24"/>
          <w:szCs w:val="20"/>
          <w:shd w:val="clear" w:color="auto" w:fill="FFFFFF"/>
        </w:rPr>
        <w:t>, </w:t>
      </w:r>
      <w:r w:rsidRPr="00645DE2">
        <w:rPr>
          <w:rFonts w:ascii="Times New Roman" w:hAnsi="Times New Roman" w:cs="Times New Roman"/>
          <w:i/>
          <w:iCs/>
          <w:color w:val="222222"/>
          <w:sz w:val="24"/>
          <w:szCs w:val="20"/>
          <w:shd w:val="clear" w:color="auto" w:fill="FFFFFF"/>
        </w:rPr>
        <w:t>99</w:t>
      </w:r>
      <w:r w:rsidRPr="00645DE2">
        <w:rPr>
          <w:rFonts w:ascii="Times New Roman" w:hAnsi="Times New Roman" w:cs="Times New Roman"/>
          <w:color w:val="222222"/>
          <w:sz w:val="24"/>
          <w:szCs w:val="20"/>
          <w:shd w:val="clear" w:color="auto" w:fill="FFFFFF"/>
        </w:rPr>
        <w:t>, 1.</w:t>
      </w:r>
    </w:p>
    <w:p w:rsidR="00645DE2" w:rsidRPr="00645DE2" w:rsidRDefault="00645DE2" w:rsidP="00645DE2">
      <w:pPr>
        <w:spacing w:after="0" w:line="480" w:lineRule="auto"/>
        <w:ind w:left="720" w:hanging="720"/>
        <w:rPr>
          <w:rFonts w:ascii="Times New Roman" w:hAnsi="Times New Roman" w:cs="Times New Roman"/>
          <w:sz w:val="32"/>
        </w:rPr>
      </w:pPr>
      <w:r w:rsidRPr="00645DE2">
        <w:rPr>
          <w:rFonts w:ascii="Times New Roman" w:hAnsi="Times New Roman" w:cs="Times New Roman"/>
          <w:color w:val="222222"/>
          <w:sz w:val="24"/>
          <w:szCs w:val="20"/>
          <w:shd w:val="clear" w:color="auto" w:fill="FFFFFF"/>
        </w:rPr>
        <w:t>Maclin, T. (2015). A comprehensive analysis of the history of interrogation law, with some shots directed at Miranda v. Arizona.</w:t>
      </w:r>
    </w:p>
    <w:p w:rsidR="008A58EE" w:rsidRPr="008A58EE" w:rsidRDefault="008A58EE" w:rsidP="008A58EE">
      <w:pPr>
        <w:spacing w:after="0" w:line="480" w:lineRule="auto"/>
        <w:rPr>
          <w:rFonts w:ascii="Times New Roman" w:hAnsi="Times New Roman" w:cs="Times New Roman"/>
          <w:sz w:val="24"/>
        </w:rPr>
      </w:pPr>
    </w:p>
    <w:p w:rsidR="00D429F3" w:rsidRPr="00D429F3" w:rsidRDefault="00D429F3">
      <w:pPr>
        <w:rPr>
          <w:rFonts w:ascii="Times New Roman" w:hAnsi="Times New Roman" w:cs="Times New Roman"/>
          <w:sz w:val="24"/>
        </w:rPr>
      </w:pPr>
    </w:p>
    <w:sectPr w:rsidR="00D429F3" w:rsidRPr="00D429F3" w:rsidSect="00D429F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E71" w:rsidRDefault="00AC5E71" w:rsidP="00D429F3">
      <w:pPr>
        <w:spacing w:after="0" w:line="240" w:lineRule="auto"/>
      </w:pPr>
      <w:r>
        <w:separator/>
      </w:r>
    </w:p>
  </w:endnote>
  <w:endnote w:type="continuationSeparator" w:id="1">
    <w:p w:rsidR="00AC5E71" w:rsidRDefault="00AC5E71" w:rsidP="00D42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E71" w:rsidRDefault="00AC5E71" w:rsidP="00D429F3">
      <w:pPr>
        <w:spacing w:after="0" w:line="240" w:lineRule="auto"/>
      </w:pPr>
      <w:r>
        <w:separator/>
      </w:r>
    </w:p>
  </w:footnote>
  <w:footnote w:type="continuationSeparator" w:id="1">
    <w:p w:rsidR="00AC5E71" w:rsidRDefault="00AC5E71" w:rsidP="00D429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32633532"/>
      <w:docPartObj>
        <w:docPartGallery w:val="Page Numbers (Top of Page)"/>
        <w:docPartUnique/>
      </w:docPartObj>
    </w:sdtPr>
    <w:sdtContent>
      <w:p w:rsidR="005F5D2B" w:rsidRPr="00D429F3" w:rsidRDefault="005F5D2B">
        <w:pPr>
          <w:pStyle w:val="Header"/>
          <w:rPr>
            <w:rFonts w:ascii="Times New Roman" w:hAnsi="Times New Roman" w:cs="Times New Roman"/>
            <w:sz w:val="24"/>
          </w:rPr>
        </w:pPr>
        <w:r w:rsidRPr="00D429F3">
          <w:rPr>
            <w:rFonts w:ascii="Times New Roman" w:hAnsi="Times New Roman" w:cs="Times New Roman"/>
            <w:sz w:val="24"/>
          </w:rPr>
          <w:t>HISTORY</w:t>
        </w:r>
        <w:r w:rsidRPr="00D429F3">
          <w:rPr>
            <w:rFonts w:ascii="Times New Roman" w:hAnsi="Times New Roman" w:cs="Times New Roman"/>
            <w:sz w:val="24"/>
          </w:rPr>
          <w:tab/>
        </w:r>
        <w:r w:rsidRPr="00D429F3">
          <w:rPr>
            <w:rFonts w:ascii="Times New Roman" w:hAnsi="Times New Roman" w:cs="Times New Roman"/>
            <w:sz w:val="24"/>
          </w:rPr>
          <w:tab/>
        </w:r>
        <w:r w:rsidRPr="00D429F3">
          <w:rPr>
            <w:rFonts w:ascii="Times New Roman" w:hAnsi="Times New Roman" w:cs="Times New Roman"/>
            <w:sz w:val="24"/>
          </w:rPr>
          <w:fldChar w:fldCharType="begin"/>
        </w:r>
        <w:r w:rsidRPr="00D429F3">
          <w:rPr>
            <w:rFonts w:ascii="Times New Roman" w:hAnsi="Times New Roman" w:cs="Times New Roman"/>
            <w:sz w:val="24"/>
          </w:rPr>
          <w:instrText xml:space="preserve"> PAGE   \* MERGEFORMAT </w:instrText>
        </w:r>
        <w:r w:rsidRPr="00D429F3">
          <w:rPr>
            <w:rFonts w:ascii="Times New Roman" w:hAnsi="Times New Roman" w:cs="Times New Roman"/>
            <w:sz w:val="24"/>
          </w:rPr>
          <w:fldChar w:fldCharType="separate"/>
        </w:r>
        <w:r w:rsidR="00645DE2">
          <w:rPr>
            <w:rFonts w:ascii="Times New Roman" w:hAnsi="Times New Roman" w:cs="Times New Roman"/>
            <w:noProof/>
            <w:sz w:val="24"/>
          </w:rPr>
          <w:t>2</w:t>
        </w:r>
        <w:r w:rsidRPr="00D429F3">
          <w:rPr>
            <w:rFonts w:ascii="Times New Roman" w:hAnsi="Times New Roman" w:cs="Times New Roman"/>
            <w:sz w:val="24"/>
          </w:rPr>
          <w:fldChar w:fldCharType="end"/>
        </w:r>
      </w:p>
    </w:sdtContent>
  </w:sdt>
  <w:p w:rsidR="005F5D2B" w:rsidRPr="00D429F3" w:rsidRDefault="005F5D2B">
    <w:pPr>
      <w:pStyle w:val="Header"/>
      <w:rPr>
        <w:rFonts w:ascii="Times New Roman" w:hAnsi="Times New Roman" w:cs="Times New Roman"/>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D2B" w:rsidRPr="00D429F3" w:rsidRDefault="005F5D2B">
    <w:pPr>
      <w:pStyle w:val="Header"/>
      <w:rPr>
        <w:rFonts w:ascii="Times New Roman" w:hAnsi="Times New Roman" w:cs="Times New Roman"/>
        <w:sz w:val="24"/>
      </w:rPr>
    </w:pPr>
    <w:r w:rsidRPr="00D429F3">
      <w:rPr>
        <w:rFonts w:ascii="Times New Roman" w:hAnsi="Times New Roman" w:cs="Times New Roman"/>
        <w:sz w:val="24"/>
      </w:rPr>
      <w:t>Running head: HISTORY</w:t>
    </w:r>
    <w:r w:rsidRPr="00D429F3">
      <w:rPr>
        <w:rFonts w:ascii="Times New Roman" w:hAnsi="Times New Roman" w:cs="Times New Roman"/>
        <w:sz w:val="24"/>
      </w:rPr>
      <w:tab/>
    </w:r>
    <w:r w:rsidRPr="00D429F3">
      <w:rPr>
        <w:rFonts w:ascii="Times New Roman" w:hAnsi="Times New Roman" w:cs="Times New Roman"/>
        <w:sz w:val="24"/>
      </w:rPr>
      <w:tab/>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429F3"/>
    <w:rsid w:val="001E6C47"/>
    <w:rsid w:val="00350500"/>
    <w:rsid w:val="003F0671"/>
    <w:rsid w:val="005F5D2B"/>
    <w:rsid w:val="00645DE2"/>
    <w:rsid w:val="006507D8"/>
    <w:rsid w:val="007B4421"/>
    <w:rsid w:val="008A58EE"/>
    <w:rsid w:val="008E176E"/>
    <w:rsid w:val="00AC5E71"/>
    <w:rsid w:val="00D42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4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2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9F3"/>
  </w:style>
  <w:style w:type="paragraph" w:styleId="Footer">
    <w:name w:val="footer"/>
    <w:basedOn w:val="Normal"/>
    <w:link w:val="FooterChar"/>
    <w:uiPriority w:val="99"/>
    <w:semiHidden/>
    <w:unhideWhenUsed/>
    <w:rsid w:val="00D42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29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Ngunjiri</dc:creator>
  <cp:lastModifiedBy>Joyce Ngunjiri</cp:lastModifiedBy>
  <cp:revision>1</cp:revision>
  <dcterms:created xsi:type="dcterms:W3CDTF">2021-05-07T03:16:00Z</dcterms:created>
  <dcterms:modified xsi:type="dcterms:W3CDTF">2021-05-07T04:22:00Z</dcterms:modified>
</cp:coreProperties>
</file>